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66" w:rsidRPr="001F0E66" w:rsidRDefault="001F0E66" w:rsidP="00482666">
      <w:pPr>
        <w:shd w:val="clear" w:color="auto" w:fill="FFFFFF"/>
        <w:spacing w:after="120"/>
        <w:ind w:hanging="2"/>
        <w:jc w:val="center"/>
        <w:rPr>
          <w:b/>
          <w:i w:val="0"/>
          <w:sz w:val="26"/>
          <w:szCs w:val="26"/>
          <w:lang w:val="ro-RO"/>
        </w:rPr>
      </w:pPr>
      <w:r w:rsidRPr="001F0E66">
        <w:rPr>
          <w:b/>
          <w:i w:val="0"/>
          <w:sz w:val="26"/>
          <w:szCs w:val="26"/>
          <w:lang w:val="ro-RO"/>
        </w:rPr>
        <w:t xml:space="preserve">BIBLIOGRAFIE </w:t>
      </w:r>
    </w:p>
    <w:p w:rsidR="00482666" w:rsidRPr="001F0E66" w:rsidRDefault="00482666" w:rsidP="00482666">
      <w:pPr>
        <w:shd w:val="clear" w:color="auto" w:fill="FFFFFF"/>
        <w:spacing w:after="120"/>
        <w:ind w:hanging="2"/>
        <w:jc w:val="center"/>
        <w:rPr>
          <w:rFonts w:eastAsia="Times New Roman"/>
          <w:b/>
          <w:i w:val="0"/>
          <w:sz w:val="26"/>
          <w:szCs w:val="26"/>
          <w:lang w:val="ro-RO"/>
        </w:rPr>
      </w:pPr>
    </w:p>
    <w:p w:rsidR="00482666" w:rsidRPr="001F0E66" w:rsidRDefault="001F0E66" w:rsidP="001F0E66">
      <w:pPr>
        <w:shd w:val="clear" w:color="auto" w:fill="FFFFFF"/>
        <w:spacing w:after="120"/>
        <w:rPr>
          <w:b/>
          <w:i w:val="0"/>
          <w:sz w:val="26"/>
          <w:szCs w:val="26"/>
          <w:lang w:val="ro-RO"/>
        </w:rPr>
      </w:pPr>
      <w:r w:rsidRPr="001F0E66">
        <w:rPr>
          <w:b/>
          <w:i w:val="0"/>
          <w:sz w:val="26"/>
          <w:szCs w:val="26"/>
          <w:lang w:val="ro-RO"/>
        </w:rPr>
        <w:t xml:space="preserve">            </w:t>
      </w:r>
      <w:r w:rsidR="00482666" w:rsidRPr="001F0E66">
        <w:rPr>
          <w:b/>
          <w:i w:val="0"/>
          <w:sz w:val="26"/>
          <w:szCs w:val="26"/>
          <w:lang w:val="ro-RO"/>
        </w:rPr>
        <w:t xml:space="preserve">A. </w:t>
      </w:r>
      <w:r w:rsidRPr="001F0E66">
        <w:rPr>
          <w:b/>
          <w:i w:val="0"/>
          <w:sz w:val="26"/>
          <w:szCs w:val="26"/>
          <w:lang w:val="ro-RO"/>
        </w:rPr>
        <w:t>Obligatorie</w:t>
      </w:r>
      <w:r w:rsidR="00482666" w:rsidRPr="001F0E66">
        <w:rPr>
          <w:b/>
          <w:i w:val="0"/>
          <w:sz w:val="26"/>
          <w:szCs w:val="26"/>
          <w:lang w:val="ro-RO"/>
        </w:rPr>
        <w:t>:</w:t>
      </w:r>
    </w:p>
    <w:p w:rsidR="00482666" w:rsidRPr="001F0E66" w:rsidRDefault="00482666" w:rsidP="001F0E66">
      <w:pPr>
        <w:pStyle w:val="NormalWeb"/>
        <w:numPr>
          <w:ilvl w:val="0"/>
          <w:numId w:val="1"/>
        </w:numPr>
        <w:shd w:val="clear" w:color="auto" w:fill="FFFFFF"/>
        <w:suppressAutoHyphens w:val="0"/>
        <w:spacing w:before="0" w:after="0" w:line="276" w:lineRule="auto"/>
        <w:ind w:left="270"/>
        <w:jc w:val="both"/>
        <w:rPr>
          <w:sz w:val="26"/>
          <w:szCs w:val="26"/>
          <w:lang w:val="ro-RO"/>
        </w:rPr>
      </w:pPr>
      <w:r w:rsidRPr="001F0E66">
        <w:rPr>
          <w:sz w:val="26"/>
          <w:szCs w:val="26"/>
          <w:lang w:val="ro-RO"/>
        </w:rPr>
        <w:t xml:space="preserve">Avornic Lucia. Profilaxia prenatală și postnatală a anomaliilor dento-maxilare. Ereditatea și aberațiile cromozomiale. Recomandare metodică. Chișinău, 2019, 28 p. </w:t>
      </w:r>
    </w:p>
    <w:p w:rsidR="00482666" w:rsidRPr="001F0E66" w:rsidRDefault="00482666" w:rsidP="001F0E66">
      <w:pPr>
        <w:pStyle w:val="NormalWeb"/>
        <w:numPr>
          <w:ilvl w:val="0"/>
          <w:numId w:val="1"/>
        </w:numPr>
        <w:shd w:val="clear" w:color="auto" w:fill="FFFFFF"/>
        <w:suppressAutoHyphens w:val="0"/>
        <w:spacing w:before="0" w:after="0" w:line="276" w:lineRule="auto"/>
        <w:ind w:left="270"/>
        <w:jc w:val="both"/>
        <w:rPr>
          <w:sz w:val="26"/>
          <w:szCs w:val="26"/>
          <w:lang w:val="ro-RO"/>
        </w:rPr>
      </w:pPr>
      <w:r w:rsidRPr="001F0E66">
        <w:rPr>
          <w:sz w:val="26"/>
          <w:szCs w:val="26"/>
          <w:lang w:val="ro-RO"/>
        </w:rPr>
        <w:t xml:space="preserve">Avornic Lucia. Factori etiologici și de risc ai anomaliilor dento-maxilare. Recomandare metodică. Chișinău, 2019, 26 p. </w:t>
      </w:r>
    </w:p>
    <w:p w:rsidR="00993F1C" w:rsidRDefault="00482666" w:rsidP="00993F1C">
      <w:pPr>
        <w:pStyle w:val="NormalWeb"/>
        <w:numPr>
          <w:ilvl w:val="0"/>
          <w:numId w:val="1"/>
        </w:numPr>
        <w:shd w:val="clear" w:color="auto" w:fill="FFFFFF"/>
        <w:suppressAutoHyphens w:val="0"/>
        <w:spacing w:before="0" w:after="0" w:line="276" w:lineRule="auto"/>
        <w:ind w:left="270"/>
        <w:jc w:val="both"/>
        <w:rPr>
          <w:sz w:val="26"/>
          <w:szCs w:val="26"/>
          <w:lang w:val="ro-RO"/>
        </w:rPr>
      </w:pPr>
      <w:r w:rsidRPr="001F0E66">
        <w:rPr>
          <w:sz w:val="26"/>
          <w:szCs w:val="26"/>
          <w:lang w:val="ro-RO"/>
        </w:rPr>
        <w:t xml:space="preserve">Bratu E., Grivu O., Dragomirescu D., Schiller E. Ortodonție interceptivă. Timișoara, ed. Helicom, 1999. </w:t>
      </w:r>
    </w:p>
    <w:p w:rsidR="00993F1C" w:rsidRPr="00993F1C" w:rsidRDefault="00993F1C" w:rsidP="00993F1C">
      <w:pPr>
        <w:pStyle w:val="NormalWeb"/>
        <w:numPr>
          <w:ilvl w:val="0"/>
          <w:numId w:val="1"/>
        </w:numPr>
        <w:shd w:val="clear" w:color="auto" w:fill="FFFFFF"/>
        <w:suppressAutoHyphens w:val="0"/>
        <w:spacing w:before="0" w:after="0" w:line="276" w:lineRule="auto"/>
        <w:ind w:left="270"/>
        <w:jc w:val="both"/>
        <w:rPr>
          <w:sz w:val="26"/>
          <w:szCs w:val="26"/>
          <w:lang w:val="ro-RO"/>
        </w:rPr>
      </w:pPr>
      <w:r w:rsidRPr="00993F1C">
        <w:rPr>
          <w:sz w:val="26"/>
          <w:szCs w:val="26"/>
          <w:lang w:val="ro-RO"/>
        </w:rPr>
        <w:t>Dorobăț V., Stanciu D. Ortodonție și ortopedie dento-facială. Editura Medicală, București, 2014/2017, 502 p.</w:t>
      </w:r>
    </w:p>
    <w:p w:rsidR="00482666" w:rsidRPr="001F0E66" w:rsidRDefault="00482666" w:rsidP="001F0E66">
      <w:pPr>
        <w:pStyle w:val="ListParagraph"/>
        <w:numPr>
          <w:ilvl w:val="0"/>
          <w:numId w:val="1"/>
        </w:numPr>
        <w:tabs>
          <w:tab w:val="left" w:pos="360"/>
        </w:tabs>
        <w:suppressAutoHyphens w:val="0"/>
        <w:spacing w:after="0"/>
        <w:ind w:left="270" w:right="-1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1F0E66">
        <w:rPr>
          <w:rFonts w:ascii="Times New Roman" w:hAnsi="Times New Roman"/>
          <w:i w:val="0"/>
          <w:sz w:val="26"/>
          <w:szCs w:val="26"/>
          <w:lang w:val="ro-RO"/>
        </w:rPr>
        <w:t>Tri</w:t>
      </w:r>
      <w:r w:rsidR="00A831A3" w:rsidRPr="001F0E66">
        <w:rPr>
          <w:rFonts w:ascii="Times New Roman" w:hAnsi="Times New Roman"/>
          <w:i w:val="0"/>
          <w:sz w:val="26"/>
          <w:szCs w:val="26"/>
          <w:lang w:val="ro-RO"/>
        </w:rPr>
        <w:t>fan V., Godoroja P.  Ortodonţie: compendiu. Chişinău</w:t>
      </w:r>
      <w:r w:rsidRPr="001F0E66">
        <w:rPr>
          <w:rFonts w:ascii="Times New Roman" w:hAnsi="Times New Roman"/>
          <w:i w:val="0"/>
          <w:sz w:val="26"/>
          <w:szCs w:val="26"/>
          <w:lang w:val="ro-RO"/>
        </w:rPr>
        <w:t xml:space="preserve">: Medicina, 2009. </w:t>
      </w:r>
    </w:p>
    <w:p w:rsidR="00993F1C" w:rsidRDefault="00482666" w:rsidP="00993F1C">
      <w:pPr>
        <w:pStyle w:val="ListParagraph"/>
        <w:numPr>
          <w:ilvl w:val="0"/>
          <w:numId w:val="1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1F0E66">
        <w:rPr>
          <w:rFonts w:ascii="Times New Roman" w:hAnsi="Times New Roman"/>
          <w:i w:val="0"/>
          <w:sz w:val="26"/>
          <w:szCs w:val="26"/>
          <w:lang w:val="ro-RO"/>
        </w:rPr>
        <w:t>Proffit</w:t>
      </w:r>
      <w:r w:rsidR="00A831A3" w:rsidRPr="001F0E66">
        <w:rPr>
          <w:rFonts w:ascii="Times New Roman" w:hAnsi="Times New Roman"/>
          <w:i w:val="0"/>
          <w:sz w:val="26"/>
          <w:szCs w:val="26"/>
          <w:lang w:val="ro-RO"/>
        </w:rPr>
        <w:t xml:space="preserve"> William R.</w:t>
      </w:r>
      <w:r w:rsidRPr="001F0E66">
        <w:rPr>
          <w:rFonts w:ascii="Times New Roman" w:hAnsi="Times New Roman"/>
          <w:i w:val="0"/>
          <w:sz w:val="26"/>
          <w:szCs w:val="26"/>
          <w:lang w:val="ro-RO"/>
        </w:rPr>
        <w:t>,  Henry W. Fields Jr., David M. Sarver</w:t>
      </w:r>
      <w:r w:rsidR="00A831A3" w:rsidRPr="001F0E66">
        <w:rPr>
          <w:rFonts w:ascii="Times New Roman" w:hAnsi="Times New Roman"/>
          <w:i w:val="0"/>
          <w:sz w:val="26"/>
          <w:szCs w:val="26"/>
          <w:lang w:val="ro-RO"/>
        </w:rPr>
        <w:t>. Contemporary orthodontics. Sixth edition, ed. Mosby, 2018</w:t>
      </w:r>
      <w:r w:rsidRPr="001F0E66">
        <w:rPr>
          <w:rFonts w:ascii="Times New Roman" w:hAnsi="Times New Roman"/>
          <w:i w:val="0"/>
          <w:sz w:val="26"/>
          <w:szCs w:val="26"/>
          <w:lang w:val="ro-RO"/>
        </w:rPr>
        <w:t xml:space="preserve">. </w:t>
      </w:r>
    </w:p>
    <w:p w:rsidR="00993F1C" w:rsidRDefault="00993F1C" w:rsidP="00993F1C">
      <w:pPr>
        <w:pStyle w:val="ListParagraph"/>
        <w:numPr>
          <w:ilvl w:val="0"/>
          <w:numId w:val="1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993F1C">
        <w:rPr>
          <w:rFonts w:ascii="Times New Roman" w:hAnsi="Times New Roman"/>
          <w:i w:val="0"/>
          <w:sz w:val="26"/>
          <w:szCs w:val="26"/>
          <w:lang w:val="ro-RO"/>
        </w:rPr>
        <w:t>Персин Л.С. Ортодонтия. Диагностика и лечение зубочелюстно-лицевых аномалий и деформаций. Учебник. Издательство ГЭОТАР-Медиа, Москва, 2016, 640 с.</w:t>
      </w:r>
    </w:p>
    <w:p w:rsidR="00993F1C" w:rsidRPr="00993F1C" w:rsidRDefault="00993F1C" w:rsidP="00993F1C">
      <w:pPr>
        <w:pStyle w:val="ListParagraph"/>
        <w:numPr>
          <w:ilvl w:val="0"/>
          <w:numId w:val="1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993F1C">
        <w:rPr>
          <w:rFonts w:ascii="Times New Roman" w:eastAsia="Times New Roman" w:hAnsi="Times New Roman"/>
          <w:i w:val="0"/>
          <w:sz w:val="26"/>
          <w:szCs w:val="26"/>
          <w:lang w:val="ro-RO" w:eastAsia="ru-RU"/>
        </w:rPr>
        <w:t xml:space="preserve">Хорошилкина Ф. Я.  Ортодонтия. </w:t>
      </w:r>
      <w:r w:rsidRPr="00993F1C">
        <w:rPr>
          <w:rFonts w:ascii="Times New Roman" w:eastAsia="Times New Roman" w:hAnsi="Times New Roman"/>
          <w:i w:val="0"/>
          <w:sz w:val="26"/>
          <w:szCs w:val="26"/>
          <w:shd w:val="clear" w:color="auto" w:fill="F5F6F7"/>
          <w:lang w:val="ro-RO" w:eastAsia="ru-RU"/>
        </w:rPr>
        <w:t xml:space="preserve">Москва, </w:t>
      </w:r>
      <w:r w:rsidRPr="00993F1C">
        <w:rPr>
          <w:rFonts w:ascii="Times New Roman" w:eastAsia="Times New Roman" w:hAnsi="Times New Roman"/>
          <w:i w:val="0"/>
          <w:sz w:val="26"/>
          <w:szCs w:val="26"/>
          <w:lang w:val="ro-RO" w:eastAsia="ru-RU"/>
        </w:rPr>
        <w:t>Медицина, 2010 г., 591 c.</w:t>
      </w:r>
    </w:p>
    <w:p w:rsidR="00993F1C" w:rsidRPr="00993F1C" w:rsidRDefault="00993F1C" w:rsidP="00993F1C">
      <w:pPr>
        <w:pStyle w:val="ListParagraph"/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</w:p>
    <w:p w:rsidR="00993F1C" w:rsidRPr="00993F1C" w:rsidRDefault="00993F1C" w:rsidP="00993F1C">
      <w:pPr>
        <w:suppressAutoHyphens w:val="0"/>
        <w:jc w:val="both"/>
        <w:rPr>
          <w:i w:val="0"/>
          <w:sz w:val="26"/>
          <w:szCs w:val="26"/>
          <w:lang w:val="ro-RO"/>
        </w:rPr>
      </w:pPr>
    </w:p>
    <w:p w:rsidR="00482666" w:rsidRPr="001F0E66" w:rsidRDefault="00482666" w:rsidP="001F0E66">
      <w:pPr>
        <w:shd w:val="clear" w:color="auto" w:fill="FFFFFF"/>
        <w:spacing w:after="120"/>
        <w:ind w:left="270" w:hanging="2"/>
        <w:rPr>
          <w:i w:val="0"/>
          <w:sz w:val="26"/>
          <w:szCs w:val="26"/>
          <w:lang w:val="ro-RO"/>
        </w:rPr>
      </w:pPr>
    </w:p>
    <w:p w:rsidR="00482666" w:rsidRPr="001F0E66" w:rsidRDefault="001F0E66" w:rsidP="001F0E66">
      <w:pPr>
        <w:spacing w:after="120"/>
        <w:ind w:left="270" w:firstLine="438"/>
        <w:rPr>
          <w:i w:val="0"/>
          <w:sz w:val="26"/>
          <w:szCs w:val="26"/>
          <w:lang w:val="ro-RO"/>
        </w:rPr>
      </w:pPr>
      <w:r w:rsidRPr="001F0E66">
        <w:rPr>
          <w:b/>
          <w:i w:val="0"/>
          <w:sz w:val="26"/>
          <w:szCs w:val="26"/>
          <w:lang w:val="ro-RO"/>
        </w:rPr>
        <w:t>B. Suplimentară</w:t>
      </w:r>
      <w:r w:rsidR="00482666" w:rsidRPr="001F0E66">
        <w:rPr>
          <w:b/>
          <w:i w:val="0"/>
          <w:sz w:val="26"/>
          <w:szCs w:val="26"/>
          <w:lang w:val="ro-RO"/>
        </w:rPr>
        <w:t>:</w:t>
      </w:r>
    </w:p>
    <w:p w:rsidR="00482666" w:rsidRPr="00993F1C" w:rsidRDefault="00482666" w:rsidP="001F0E66">
      <w:pPr>
        <w:pStyle w:val="ListParagraph"/>
        <w:numPr>
          <w:ilvl w:val="0"/>
          <w:numId w:val="2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shd w:val="clear" w:color="auto" w:fill="FFFFFF"/>
          <w:lang w:val="ro-RO"/>
        </w:rPr>
      </w:pPr>
      <w:r w:rsidRPr="001F0E66">
        <w:rPr>
          <w:rFonts w:ascii="Times New Roman" w:hAnsi="Times New Roman"/>
          <w:i w:val="0"/>
          <w:sz w:val="26"/>
          <w:szCs w:val="26"/>
          <w:lang w:val="ro-RO"/>
        </w:rPr>
        <w:t xml:space="preserve">Cuculescu M. Prevenție primară în carie și paradontopatii. </w:t>
      </w:r>
      <w:r w:rsidR="00993F1C">
        <w:rPr>
          <w:rFonts w:ascii="Times New Roman" w:hAnsi="Times New Roman"/>
          <w:i w:val="0"/>
          <w:sz w:val="26"/>
          <w:szCs w:val="26"/>
          <w:shd w:val="clear" w:color="auto" w:fill="FFFFFF"/>
          <w:lang w:val="ro-RO"/>
        </w:rPr>
        <w:t xml:space="preserve">București, </w:t>
      </w:r>
      <w:bookmarkStart w:id="0" w:name="_GoBack"/>
      <w:bookmarkEnd w:id="0"/>
      <w:r w:rsidRPr="001F0E66">
        <w:rPr>
          <w:rFonts w:ascii="Times New Roman" w:hAnsi="Times New Roman"/>
          <w:i w:val="0"/>
          <w:sz w:val="26"/>
          <w:szCs w:val="26"/>
          <w:shd w:val="clear" w:color="auto" w:fill="FFFFFF"/>
          <w:lang w:val="ro-RO"/>
        </w:rPr>
        <w:t xml:space="preserve">Editura </w:t>
      </w:r>
      <w:hyperlink r:id="rId5" w:tooltip="Carti - Editura Didactica  Si Pedagocica" w:history="1">
        <w:r w:rsidRPr="00993F1C">
          <w:rPr>
            <w:rStyle w:val="Hyperlink"/>
            <w:rFonts w:ascii="Times New Roman" w:hAnsi="Times New Roman"/>
            <w:i w:val="0"/>
            <w:color w:val="auto"/>
            <w:sz w:val="26"/>
            <w:szCs w:val="26"/>
            <w:u w:val="none"/>
            <w:shd w:val="clear" w:color="auto" w:fill="FFFFFF"/>
            <w:lang w:val="ro-RO"/>
          </w:rPr>
          <w:t>Didactică și Pedagocică</w:t>
        </w:r>
      </w:hyperlink>
      <w:r w:rsidRPr="00993F1C">
        <w:rPr>
          <w:rFonts w:ascii="Times New Roman" w:hAnsi="Times New Roman"/>
          <w:i w:val="0"/>
          <w:sz w:val="26"/>
          <w:szCs w:val="26"/>
          <w:shd w:val="clear" w:color="auto" w:fill="FFFFFF"/>
          <w:lang w:val="ro-RO"/>
        </w:rPr>
        <w:t xml:space="preserve"> R.A, 2010. 692 p</w:t>
      </w:r>
      <w:r w:rsidR="00A831A3" w:rsidRPr="00993F1C">
        <w:rPr>
          <w:rFonts w:ascii="Times New Roman" w:hAnsi="Times New Roman"/>
          <w:i w:val="0"/>
          <w:sz w:val="26"/>
          <w:szCs w:val="26"/>
          <w:shd w:val="clear" w:color="auto" w:fill="FFFFFF"/>
          <w:lang w:val="ro-RO"/>
        </w:rPr>
        <w:t>.</w:t>
      </w:r>
    </w:p>
    <w:p w:rsidR="00993F1C" w:rsidRPr="00993F1C" w:rsidRDefault="00482666" w:rsidP="00993F1C">
      <w:pPr>
        <w:pStyle w:val="ListParagraph"/>
        <w:numPr>
          <w:ilvl w:val="0"/>
          <w:numId w:val="2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993F1C">
        <w:rPr>
          <w:rFonts w:ascii="Times New Roman" w:hAnsi="Times New Roman"/>
          <w:i w:val="0"/>
          <w:sz w:val="26"/>
          <w:szCs w:val="26"/>
          <w:lang w:val="ro-RO"/>
        </w:rPr>
        <w:t>Lupan I., Stepco E., Şevcenco N. Prevenția afecțiunilor stomatologice. Compendiu. Chișinău: CEP Medicina (Tipografia AŞM), 2014. 212 p. ISBN 978-9975-118-71-2.</w:t>
      </w:r>
    </w:p>
    <w:p w:rsidR="00993F1C" w:rsidRPr="00993F1C" w:rsidRDefault="00993F1C" w:rsidP="00993F1C">
      <w:pPr>
        <w:pStyle w:val="ListParagraph"/>
        <w:numPr>
          <w:ilvl w:val="0"/>
          <w:numId w:val="2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993F1C">
        <w:rPr>
          <w:rFonts w:ascii="Times New Roman" w:eastAsia="Times New Roman" w:hAnsi="Times New Roman"/>
          <w:i w:val="0"/>
          <w:iCs w:val="0"/>
          <w:sz w:val="26"/>
          <w:szCs w:val="26"/>
          <w:lang w:val="ro-RO" w:eastAsia="ru-RU"/>
        </w:rPr>
        <w:t xml:space="preserve">McDonald R., Avery D. Dentistry for the Child and Adolescent. 9th Ed. Mosby, 2011, </w:t>
      </w:r>
    </w:p>
    <w:p w:rsidR="00482666" w:rsidRPr="00993F1C" w:rsidRDefault="00993F1C" w:rsidP="00993F1C">
      <w:pPr>
        <w:shd w:val="clear" w:color="auto" w:fill="FFFFFF"/>
        <w:suppressAutoHyphens w:val="0"/>
        <w:spacing w:line="276" w:lineRule="auto"/>
        <w:rPr>
          <w:rFonts w:eastAsia="Times New Roman"/>
          <w:i w:val="0"/>
          <w:iCs w:val="0"/>
          <w:color w:val="000000"/>
          <w:sz w:val="26"/>
          <w:szCs w:val="26"/>
          <w:lang w:val="ro-RO" w:eastAsia="ru-RU"/>
        </w:rPr>
      </w:pPr>
      <w:r w:rsidRPr="00993F1C">
        <w:rPr>
          <w:rFonts w:eastAsia="Times New Roman"/>
          <w:i w:val="0"/>
          <w:iCs w:val="0"/>
          <w:sz w:val="26"/>
          <w:szCs w:val="26"/>
          <w:lang w:val="ro-RO" w:eastAsia="ru-RU"/>
        </w:rPr>
        <w:t xml:space="preserve">     720p.</w:t>
      </w:r>
      <w:r w:rsidRPr="00993F1C">
        <w:rPr>
          <w:rFonts w:eastAsia="Times New Roman"/>
          <w:i w:val="0"/>
          <w:iCs w:val="0"/>
          <w:color w:val="000000"/>
          <w:sz w:val="26"/>
          <w:szCs w:val="26"/>
          <w:lang w:val="ro-RO" w:eastAsia="ru-RU"/>
        </w:rPr>
        <w:t xml:space="preserve"> </w:t>
      </w:r>
    </w:p>
    <w:p w:rsidR="00482666" w:rsidRPr="001F0E66" w:rsidRDefault="00482666" w:rsidP="001F0E66">
      <w:pPr>
        <w:pStyle w:val="ListParagraph"/>
        <w:numPr>
          <w:ilvl w:val="0"/>
          <w:numId w:val="2"/>
        </w:numPr>
        <w:suppressAutoHyphens w:val="0"/>
        <w:spacing w:after="0"/>
        <w:ind w:left="270"/>
        <w:jc w:val="both"/>
        <w:rPr>
          <w:rFonts w:ascii="Times New Roman" w:hAnsi="Times New Roman"/>
          <w:i w:val="0"/>
          <w:sz w:val="26"/>
          <w:szCs w:val="26"/>
          <w:lang w:val="ro-RO"/>
        </w:rPr>
      </w:pPr>
      <w:r w:rsidRPr="001F0E66">
        <w:rPr>
          <w:rFonts w:ascii="Times New Roman" w:hAnsi="Times New Roman"/>
          <w:bCs/>
          <w:i w:val="0"/>
          <w:sz w:val="26"/>
          <w:szCs w:val="26"/>
          <w:lang w:val="ro-RO"/>
        </w:rPr>
        <w:t xml:space="preserve">Персин </w:t>
      </w:r>
      <w:r w:rsidRPr="001F0E66">
        <w:rPr>
          <w:rFonts w:ascii="Times New Roman" w:hAnsi="Times New Roman"/>
          <w:bCs/>
          <w:i w:val="0"/>
          <w:iCs w:val="0"/>
          <w:sz w:val="26"/>
          <w:szCs w:val="26"/>
          <w:lang w:val="ro-RO"/>
        </w:rPr>
        <w:t xml:space="preserve">Л., </w:t>
      </w:r>
      <w:r w:rsidRPr="001F0E66">
        <w:rPr>
          <w:rFonts w:ascii="Times New Roman" w:hAnsi="Times New Roman"/>
          <w:bCs/>
          <w:i w:val="0"/>
          <w:sz w:val="26"/>
          <w:szCs w:val="26"/>
          <w:lang w:val="ro-RO"/>
        </w:rPr>
        <w:t>Елизарова В., Дьякова С.</w:t>
      </w:r>
      <w:r w:rsidRPr="001F0E66">
        <w:rPr>
          <w:rFonts w:ascii="Times New Roman" w:hAnsi="Times New Roman"/>
          <w:i w:val="0"/>
          <w:sz w:val="26"/>
          <w:szCs w:val="26"/>
          <w:lang w:val="ro-RO"/>
        </w:rPr>
        <w:t>Стоматология детского возраста. Изд. 5-е, перераб. и доп. М.: ОАО «Издательство «Медицина», 2006. 640 с: ISBN 5-225-04354-2</w:t>
      </w:r>
      <w:r w:rsidR="001F0E66">
        <w:rPr>
          <w:rFonts w:ascii="Times New Roman" w:hAnsi="Times New Roman"/>
          <w:i w:val="0"/>
          <w:sz w:val="26"/>
          <w:szCs w:val="26"/>
          <w:lang w:val="ro-RO"/>
        </w:rPr>
        <w:t>.</w:t>
      </w:r>
      <w:r w:rsidRPr="001F0E66">
        <w:rPr>
          <w:rFonts w:ascii="Times New Roman" w:hAnsi="Times New Roman"/>
          <w:i w:val="0"/>
          <w:sz w:val="26"/>
          <w:szCs w:val="26"/>
          <w:lang w:val="ro-RO"/>
        </w:rPr>
        <w:t xml:space="preserve"> </w:t>
      </w:r>
    </w:p>
    <w:p w:rsidR="00482666" w:rsidRPr="001F0E66" w:rsidRDefault="00482666">
      <w:pPr>
        <w:rPr>
          <w:lang w:val="ro-RO"/>
        </w:rPr>
      </w:pPr>
    </w:p>
    <w:sectPr w:rsidR="00482666" w:rsidRPr="001F0E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F0C"/>
    <w:multiLevelType w:val="hybridMultilevel"/>
    <w:tmpl w:val="EA52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A6FB8"/>
    <w:multiLevelType w:val="hybridMultilevel"/>
    <w:tmpl w:val="64D2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6E"/>
    <w:rsid w:val="001F0E66"/>
    <w:rsid w:val="00482666"/>
    <w:rsid w:val="005B37B7"/>
    <w:rsid w:val="007C206E"/>
    <w:rsid w:val="00993F1C"/>
    <w:rsid w:val="00A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4984-97D4-4E6C-BAC9-680EFCC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66"/>
    <w:pPr>
      <w:suppressAutoHyphens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6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482666"/>
    <w:pPr>
      <w:spacing w:before="280" w:after="280"/>
    </w:pPr>
    <w:rPr>
      <w:rFonts w:eastAsia="Times New Roman"/>
      <w:i w:val="0"/>
      <w:iCs w:val="0"/>
      <w:lang w:val="ru-RU"/>
    </w:rPr>
  </w:style>
  <w:style w:type="character" w:styleId="Hyperlink">
    <w:name w:val="Hyperlink"/>
    <w:basedOn w:val="DefaultParagraphFont"/>
    <w:uiPriority w:val="99"/>
    <w:rsid w:val="0048266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carti.ro/editura/didactica-si-pedagocica--i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1384</Characters>
  <Application>Microsoft Office Word</Application>
  <DocSecurity>0</DocSecurity>
  <Lines>11</Lines>
  <Paragraphs>3</Paragraphs>
  <ScaleCrop>false</ScaleCrop>
  <Company>diakov.net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C I</cp:lastModifiedBy>
  <cp:revision>6</cp:revision>
  <dcterms:created xsi:type="dcterms:W3CDTF">2020-01-29T16:39:00Z</dcterms:created>
  <dcterms:modified xsi:type="dcterms:W3CDTF">2022-01-29T16:17:00Z</dcterms:modified>
</cp:coreProperties>
</file>